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704A" w14:textId="77777777" w:rsidR="001C39C6" w:rsidRPr="001C39C6" w:rsidRDefault="001C39C6" w:rsidP="001C39C6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6"/>
          <w:szCs w:val="36"/>
          <w14:ligatures w14:val="none"/>
        </w:rPr>
      </w:pPr>
      <w:r w:rsidRPr="001C39C6">
        <w:rPr>
          <w:rFonts w:ascii="inherit" w:eastAsia="Times New Roman" w:hAnsi="inherit" w:cs="Times New Roman"/>
          <w:color w:val="333333"/>
          <w:kern w:val="36"/>
          <w:sz w:val="36"/>
          <w:szCs w:val="36"/>
          <w14:ligatures w14:val="none"/>
        </w:rPr>
        <w:t>BÀI TUYÊN TRUYỀN VỀ TÁC HẠI CỦA HÚT THUỐC LÁ ĐIỆN TỬ</w:t>
      </w:r>
    </w:p>
    <w:p w14:paraId="6E3795AA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Việc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nghiện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nay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đang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báo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động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lưu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hay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mới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đang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ngày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càng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“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xâm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nhập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”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ảnh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hưởng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xấu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vi,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sống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sức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khỏe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tuổi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-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tuổi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mò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phá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.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Vậy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?</w:t>
      </w:r>
    </w:p>
    <w:p w14:paraId="65757B0A" w14:textId="0D3C8032" w:rsidR="001C39C6" w:rsidRPr="001C39C6" w:rsidRDefault="001C39C6" w:rsidP="001C39C6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noProof/>
          <w:color w:val="3C3C3C"/>
          <w:kern w:val="0"/>
          <w:sz w:val="21"/>
          <w:szCs w:val="21"/>
          <w14:ligatures w14:val="none"/>
        </w:rPr>
        <w:drawing>
          <wp:inline distT="0" distB="0" distL="0" distR="0" wp14:anchorId="650EAE57" wp14:editId="47F43EE4">
            <wp:extent cx="5819775" cy="3905250"/>
            <wp:effectExtent l="0" t="0" r="9525" b="0"/>
            <wp:docPr id="1042020510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E1834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</w:p>
    <w:p w14:paraId="3CF38079" w14:textId="77777777" w:rsidR="001C39C6" w:rsidRPr="001C39C6" w:rsidRDefault="001C39C6" w:rsidP="001C39C6">
      <w:pPr>
        <w:numPr>
          <w:ilvl w:val="0"/>
          <w:numId w:val="1"/>
        </w:numPr>
        <w:shd w:val="clear" w:color="auto" w:fill="FFFFFF"/>
        <w:spacing w:after="150" w:line="240" w:lineRule="auto"/>
        <w:ind w:left="1290" w:right="24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gì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?</w:t>
      </w:r>
    </w:p>
    <w:p w14:paraId="649465EA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bằng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pin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hòa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tan.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cháy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luồng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nicotine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luồng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mùi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C16B88C" w14:textId="77777777" w:rsidR="001C39C6" w:rsidRPr="001C39C6" w:rsidRDefault="001C39C6" w:rsidP="001C39C6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noProof/>
          <w:color w:val="3C3C3C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54739AD3" wp14:editId="10D22490">
            <wp:extent cx="6285710" cy="3661426"/>
            <wp:effectExtent l="0" t="0" r="127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3" cy="36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293F8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</w:p>
    <w:p w14:paraId="23E38B61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len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bằng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son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USB,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khẩu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súng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…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vani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chuối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xoài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dâu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cam,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),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kẹo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kẹo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anh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kẹo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kẹo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chocolate,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)...</w:t>
      </w:r>
      <w:proofErr w:type="gram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"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bẫy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".</w:t>
      </w:r>
    </w:p>
    <w:p w14:paraId="6B66CC7F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châm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lửa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 </w:t>
      </w:r>
    </w:p>
    <w:p w14:paraId="61C0102E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dựa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cháy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thay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chuyển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buồng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nước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hay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mù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Nicotin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trộn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nền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propylene glycol,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Đầu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đèn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led,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ánh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cháy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039B238" w14:textId="77777777" w:rsidR="001C39C6" w:rsidRPr="001C39C6" w:rsidRDefault="001C39C6" w:rsidP="001C39C6">
      <w:pPr>
        <w:shd w:val="clear" w:color="auto" w:fill="FFFFFF"/>
        <w:spacing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Các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ty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so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thường.Tuy</w:t>
      </w:r>
      <w:proofErr w:type="spellEnd"/>
      <w:proofErr w:type="gram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nhằm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nhầm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Các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bằng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thấy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cháy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tỏa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076CB55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proofErr w:type="gram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mẫu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pin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thay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tùy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chính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nhân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tướng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trộn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ma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túy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Bản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nicotin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Khi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trộn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thêm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,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ma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túy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tổng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hậu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mang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lụy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8637689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lầm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tưởng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tỏa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hay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mùi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chịu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Tuy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hiểm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phẩm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kém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AC74CDF" w14:textId="77777777" w:rsidR="001C39C6" w:rsidRPr="001C39C6" w:rsidRDefault="001C39C6" w:rsidP="001C39C6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noProof/>
          <w:color w:val="3C3C3C"/>
          <w:kern w:val="0"/>
          <w:sz w:val="21"/>
          <w:szCs w:val="21"/>
          <w14:ligatures w14:val="none"/>
        </w:rPr>
        <w:drawing>
          <wp:inline distT="0" distB="0" distL="0" distR="0" wp14:anchorId="222E2E35" wp14:editId="659F05BF">
            <wp:extent cx="6381750" cy="3899958"/>
            <wp:effectExtent l="0" t="0" r="0" b="5715"/>
            <wp:docPr id="4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22" cy="390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DE74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</w:p>
    <w:p w14:paraId="464EE101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2.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5B1ACD89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</w:t>
      </w: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ây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viêm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phổi</w:t>
      </w:r>
      <w:proofErr w:type="spellEnd"/>
    </w:p>
    <w:p w14:paraId="2E4BE95F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Các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hóa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nghiêm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khỏe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phụ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diacetyl (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bắp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rang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)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an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toàn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hiểm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dài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144AADE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Diacetyl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,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viêm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tiểu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,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nhân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lớn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.</w:t>
      </w:r>
      <w:proofErr w:type="gramEnd"/>
    </w:p>
    <w:p w14:paraId="325BD9D2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</w:t>
      </w: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ây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thận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</w:p>
    <w:p w14:paraId="08C01898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bay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nhiễm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nặng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cuộn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Các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loại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dễ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dàng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tụ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tổn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C7C47C0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cứu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hay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hủy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xuất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đẩy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nhanh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hóa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thoái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kéo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nhớ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... Học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biểu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chú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quyết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kém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thay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nghiêm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nhóm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bắt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ổn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…</w:t>
      </w:r>
    </w:p>
    <w:p w14:paraId="56D963FF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nghiện</w:t>
      </w:r>
      <w:proofErr w:type="spellEnd"/>
    </w:p>
    <w:p w14:paraId="6CDDFFE8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bắt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buộc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tiếp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chịu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dứt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nhớ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miễn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…</w:t>
      </w:r>
    </w:p>
    <w:p w14:paraId="1BAF520E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tim</w:t>
      </w:r>
      <w:proofErr w:type="spellEnd"/>
    </w:p>
    <w:p w14:paraId="2FEBB6C8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ảnh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hưởng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máu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,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quỵ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thậm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mắc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mạch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cứu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thấy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so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00CFEC61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chấn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thương</w:t>
      </w:r>
      <w:proofErr w:type="spellEnd"/>
    </w:p>
    <w:p w14:paraId="43ABF0EC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pin lithium-ion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cuộn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pin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trở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dễ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bắt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lửa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thậm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nổ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646639B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</w:p>
    <w:p w14:paraId="4567F664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Hương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chocolate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kẹo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lớn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 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sự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em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nhớ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miễn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giảm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xa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tầm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tay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chúng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uống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cũng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vô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mắt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đổ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da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nặng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4064464D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khiến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thở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mùi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</w:p>
    <w:p w14:paraId="61E9C7FF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bởi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nhỏ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kích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ứng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hỏng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khiến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dễ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ngực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gặp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vấn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thở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thì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thở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còn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nặng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mùi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trầm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nữa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0AA5B2D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ung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thư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đột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quỵ</w:t>
      </w:r>
      <w:proofErr w:type="spellEnd"/>
    </w:p>
    <w:p w14:paraId="0278A983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lastRenderedPageBreak/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dịch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hàng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trăm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hầu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định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nồng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mỗi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ml.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nạp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nicotine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ngộ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tính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quỵ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não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hen,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…</w:t>
      </w:r>
    </w:p>
    <w:p w14:paraId="6A0BCA19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3. </w:t>
      </w: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:lang w:val="vi-VN"/>
          <w14:ligatures w14:val="none"/>
        </w:rPr>
        <w:t>Biện pháp ngăn ngừa thuốc lá điện tử</w:t>
      </w:r>
    </w:p>
    <w:p w14:paraId="6155142C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vấn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nay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lứa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tuổi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,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vai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bố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mẹ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vai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7F3CCD4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Với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đình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Bố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mẹ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chú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ý:</w:t>
      </w:r>
    </w:p>
    <w:p w14:paraId="7F05A99E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nghe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sở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tôn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đến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vi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do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áp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đặt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74912FA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hiểu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thêm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có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dấu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6969CEF8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Khi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dấu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sĩ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tâm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thăm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khám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điều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sớm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B35EB3E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Với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nhà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  <w:r w:rsidRPr="001C39C6">
        <w:rPr>
          <w:rFonts w:ascii="Calibri" w:eastAsia="Times New Roman" w:hAnsi="Calibri" w:cs="Calibri"/>
          <w:color w:val="333333"/>
          <w:kern w:val="0"/>
          <w:shd w:val="clear" w:color="auto" w:fill="FFFFFF"/>
          <w14:ligatures w14:val="none"/>
        </w:rPr>
        <w:t> </w:t>
      </w:r>
    </w:p>
    <w:p w14:paraId="7E8E799E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đình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,</w:t>
      </w: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vai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trò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giáo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dục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nhà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cũng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yếu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tố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quan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trọng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thói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hư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xấu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những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hội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p w14:paraId="3ADCA945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Giáo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do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E56941C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Tăng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cường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ngoại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khóa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giải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tỏa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căng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thẳng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giờ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spacing w:val="-8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A7CBA0F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Tổ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chức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buổi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khóa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tuyên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truyền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tìm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hiểu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3DFA9AA8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-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Ngoài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quản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chặt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chẽ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vấn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ở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: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nguồn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cấp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nguy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rộng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520BE444" w14:textId="77777777" w:rsidR="001C39C6" w:rsidRPr="001C39C6" w:rsidRDefault="001C39C6" w:rsidP="001C39C6">
      <w:pPr>
        <w:shd w:val="clear" w:color="auto" w:fill="FFFFFF"/>
        <w:spacing w:before="120"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Đối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bản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sinh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sử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dụng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kéo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rủ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rê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tham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gia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hút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điếu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vận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chuyển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mua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bán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tàng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trữ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nghiện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.</w:t>
      </w:r>
    </w:p>
    <w:p w14:paraId="2D40D840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thầm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lặng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nhân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ra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biết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bao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nhiêu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vẫn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từng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giờ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đầu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cả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giới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này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được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loại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khỏi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con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Mọi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người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hãy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phải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tránh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gram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xa ,</w:t>
      </w:r>
      <w:proofErr w:type="gram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mê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hoặc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lôi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kéo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bởi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lá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điện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tử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xây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dựng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hệ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khỏe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mạnh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hạn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chế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bệnh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tật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góp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nâng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cao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cuộc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sống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chất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lượng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giống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nòi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dân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tộc</w:t>
      </w:r>
      <w:proofErr w:type="spellEnd"/>
      <w:r w:rsidRPr="001C39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2BB4D708" w14:textId="77777777" w:rsidR="001C39C6" w:rsidRPr="001C39C6" w:rsidRDefault="001C39C6" w:rsidP="001C39C6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noProof/>
          <w:color w:val="3C3C3C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42160B28" wp14:editId="62B6E202">
            <wp:extent cx="4876800" cy="3905250"/>
            <wp:effectExtent l="0" t="0" r="0" b="0"/>
            <wp:docPr id="5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A2832" w14:textId="77777777" w:rsidR="001C39C6" w:rsidRPr="001C39C6" w:rsidRDefault="001C39C6" w:rsidP="001C39C6">
      <w:pPr>
        <w:shd w:val="clear" w:color="auto" w:fill="FFFFFF"/>
        <w:spacing w:after="6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</w:pPr>
      <w:r w:rsidRPr="001C39C6">
        <w:rPr>
          <w:rFonts w:ascii="Roboto" w:eastAsia="Times New Roman" w:hAnsi="Roboto" w:cs="Times New Roman"/>
          <w:color w:val="333333"/>
          <w:kern w:val="0"/>
          <w:sz w:val="21"/>
          <w:szCs w:val="21"/>
          <w14:ligatures w14:val="none"/>
        </w:rPr>
        <w:t> </w:t>
      </w:r>
    </w:p>
    <w:p w14:paraId="41D4DB48" w14:textId="02CB59B6" w:rsidR="001C39C6" w:rsidRPr="001C39C6" w:rsidRDefault="001C39C6" w:rsidP="001C39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kern w:val="0"/>
          <w:sz w:val="21"/>
          <w:szCs w:val="21"/>
          <w:lang w:val="vi-VN"/>
          <w14:ligatures w14:val="none"/>
        </w:rPr>
      </w:pP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Cuối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cùng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lời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khuyên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shd w:val="clear" w:color="auto" w:fill="FFFFFF"/>
          <w14:ligatures w14:val="none"/>
        </w:rPr>
        <w:t>b</w:t>
      </w:r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ạn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sinh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là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nên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nhận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biết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sớm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những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tác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hại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của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thuốc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lá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điện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tử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với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sức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khỏe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để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tránh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xa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khói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thuốc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có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thể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gây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chết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người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này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 xml:space="preserve">. </w:t>
      </w:r>
      <w:proofErr w:type="spellStart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Hãy</w:t>
      </w:r>
      <w:proofErr w:type="spellEnd"/>
      <w:r w:rsidRPr="001C39C6">
        <w:rPr>
          <w:rFonts w:ascii="Calibri" w:eastAsia="Times New Roman" w:hAnsi="Calibri" w:cs="Calibri"/>
          <w:color w:val="333333"/>
          <w:kern w:val="0"/>
          <w:sz w:val="28"/>
          <w:szCs w:val="28"/>
          <w14:ligatures w14:val="none"/>
        </w:rPr>
        <w:t> </w:t>
      </w:r>
      <w:proofErr w:type="spellStart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nói</w:t>
      </w:r>
      <w:proofErr w:type="spellEnd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không</w:t>
      </w:r>
      <w:proofErr w:type="spellEnd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thuốc</w:t>
      </w:r>
      <w:proofErr w:type="spellEnd"/>
      <w:r w:rsidRPr="001C39C6"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l</w:t>
      </w:r>
      <w:r>
        <w:rPr>
          <w:rFonts w:ascii="Calibri" w:eastAsia="Times New Roman" w:hAnsi="Calibri" w:cs="Calibri"/>
          <w:b/>
          <w:bCs/>
          <w:color w:val="333333"/>
          <w:kern w:val="0"/>
          <w:sz w:val="28"/>
          <w:szCs w:val="28"/>
          <w:shd w:val="clear" w:color="auto" w:fill="FFFFFF"/>
          <w:lang w:val="vi-VN"/>
          <w14:ligatures w14:val="none"/>
        </w:rPr>
        <w:t>á điện tử.</w:t>
      </w:r>
    </w:p>
    <w:p w14:paraId="006FE044" w14:textId="77777777" w:rsidR="00FD1977" w:rsidRDefault="00FD1977"/>
    <w:sectPr w:rsidR="00FD1977" w:rsidSect="001C39C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6F1B"/>
    <w:multiLevelType w:val="multilevel"/>
    <w:tmpl w:val="792E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6"/>
    <w:rsid w:val="00075942"/>
    <w:rsid w:val="001C39C6"/>
    <w:rsid w:val="002F0281"/>
    <w:rsid w:val="00335AB1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F009"/>
  <w15:chartTrackingRefBased/>
  <w15:docId w15:val="{CE8D9758-36AB-4D8E-BD34-138591A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9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9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9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9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9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9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9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398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hcstaydang.edu.vn/upload/21793/fck/hanoi-thcstaydang/thuoc%20la%20-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thcstaydang.edu.vn/upload/21793/fck/hanoi-thcstaydang/thuoc%20la%20-4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thcstaydang.edu.vn/upload/21793/fck/hanoi-thcstaydang/thuoc%20la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2025-03-04T01:55:00Z</dcterms:created>
  <dcterms:modified xsi:type="dcterms:W3CDTF">2025-03-04T01:58:00Z</dcterms:modified>
</cp:coreProperties>
</file>