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100" w:afterAutospacing="0" w:line="280" w:lineRule="atLeast"/>
        <w:ind w:left="0" w:right="42" w:firstLine="0"/>
        <w:jc w:val="center"/>
        <w:rPr>
          <w:rFonts w:hint="default" w:ascii="Times New Roman" w:hAnsi="Times New Roman" w:eastAsia="Arial" w:cs="Times New Roman"/>
          <w:i w:val="0"/>
          <w:iCs w:val="0"/>
          <w:caps w:val="0"/>
          <w:color w:val="222222"/>
          <w:spacing w:val="-10"/>
          <w:sz w:val="28"/>
          <w:szCs w:val="28"/>
          <w:bdr w:val="none" w:color="auto" w:sz="0" w:space="0"/>
          <w:lang w:val="vi-VN"/>
        </w:rPr>
      </w:pPr>
      <w:r>
        <w:rPr>
          <w:rFonts w:hint="default" w:ascii="Times New Roman" w:hAnsi="Times New Roman" w:eastAsia="Arial" w:cs="Times New Roman"/>
          <w:i w:val="0"/>
          <w:iCs w:val="0"/>
          <w:caps w:val="0"/>
          <w:color w:val="222222"/>
          <w:spacing w:val="-10"/>
          <w:sz w:val="28"/>
          <w:szCs w:val="28"/>
          <w:bdr w:val="none" w:color="auto" w:sz="0" w:space="0"/>
          <w:lang w:val="vi-VN"/>
        </w:rPr>
        <w:t>Tiết 21-22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100" w:afterAutospacing="0" w:line="280" w:lineRule="atLeast"/>
        <w:ind w:left="0" w:right="42" w:firstLine="0"/>
        <w:jc w:val="center"/>
        <w:rPr>
          <w:rFonts w:hint="default" w:ascii="Times New Roman" w:hAnsi="Times New Roman" w:eastAsia="Arial" w:cs="Times New Roman"/>
          <w:i w:val="0"/>
          <w:iCs w:val="0"/>
          <w:caps w:val="0"/>
          <w:color w:val="222222"/>
          <w:spacing w:val="-10"/>
          <w:sz w:val="28"/>
          <w:szCs w:val="28"/>
        </w:rPr>
      </w:pPr>
      <w:r>
        <w:rPr>
          <w:rFonts w:hint="default" w:ascii="Times New Roman" w:hAnsi="Times New Roman" w:eastAsia="Arial" w:cs="Times New Roman"/>
          <w:i w:val="0"/>
          <w:iCs w:val="0"/>
          <w:caps w:val="0"/>
          <w:color w:val="222222"/>
          <w:spacing w:val="-10"/>
          <w:sz w:val="28"/>
          <w:szCs w:val="28"/>
          <w:bdr w:val="none" w:color="auto" w:sz="0" w:space="0"/>
        </w:rPr>
        <w:t xml:space="preserve">Bài 13: </w:t>
      </w:r>
      <w:bookmarkStart w:id="0" w:name="_GoBack"/>
      <w:r>
        <w:rPr>
          <w:rFonts w:hint="default" w:ascii="Times New Roman" w:hAnsi="Times New Roman" w:eastAsia="Arial" w:cs="Times New Roman"/>
          <w:i w:val="0"/>
          <w:iCs w:val="0"/>
          <w:caps w:val="0"/>
          <w:color w:val="222222"/>
          <w:spacing w:val="-10"/>
          <w:sz w:val="28"/>
          <w:szCs w:val="28"/>
          <w:bdr w:val="none" w:color="auto" w:sz="0" w:space="0"/>
        </w:rPr>
        <w:t>Quyền tự do kinh doanh và nghĩa vụ đóng thuế</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I. Khái quát nội dung câu chuyện.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Hành vi vi phạm của X thuộc lĩnh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Thuộc lĩnh vực sản xuất, buôn bán.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Vi phạm về sản xuất, buôn bán hàng giả.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Nhà nước ta qui định:- Mức thuế cao là để hạn chế ngành mặt hàng xa xỉ, ko cần thiết đối với đời sống của ND. (VD: ô tô, vàng mã lãng phí, rượu tây, thuốc lá ngoại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Mức thuế thấp là khuyến khích sản xuất, kinh doanh những mặt hàng cần thiết đối với đời sống của 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(VD: SX quần áo, lúa gạo, lương thực thực phẩm, nước sạch, đồ dùng học tập...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rPr>
        <w:t>II. Nội dung bài học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iCs/>
          <w:caps w:val="0"/>
          <w:color w:val="000000"/>
          <w:spacing w:val="0"/>
          <w:sz w:val="28"/>
          <w:szCs w:val="28"/>
          <w:bdr w:val="none" w:color="auto" w:sz="0" w:space="0"/>
        </w:rPr>
        <w:t>2.1. Khái niệm: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Kinh doanh: Là hoạt động sản xuất, dịch vụ và trao đổi hàng hoá nhằm mục đích thu lợi nhuận.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Quyền tự do kinh doanh là công dân có quyền lựa chọn hình thức tổ chức kinh tế, ngành nghề và qui mô kinh doanh. Tuy nhiên người kinh doanh phải tuân theo qui định của pháp luật và sự quản lí của Nhà nước...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Thuế là một phần trong thu nhập mà công dân và tổ chức kinh tế có nghĩa vụ nộp vào ngân sách nhà nước để chi têu cho những công việc chung. (như an ninh, quốc phòng, nhà lương cho công chức nhà nước, xây dựng trường học, bệnh viện, làm đường…)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Thuế có tác dụng ổn định thị trường, điều chỉnh cơ cấu kinh tế, góp phần đảm bảo phát triển kinh tế theo định hướng của nhà nước.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iCs/>
          <w:caps w:val="0"/>
          <w:color w:val="000000"/>
          <w:spacing w:val="0"/>
          <w:sz w:val="28"/>
          <w:szCs w:val="28"/>
          <w:bdr w:val="none" w:color="auto" w:sz="0" w:space="0"/>
        </w:rPr>
        <w:t>2.2. Trách nhiệm của công dân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Trách nhiệm của công dân: Công dân phải sử dụng đúng đắn quyền tự do kinh doanh, thực hiện nghĩa vụ đóng thuế góp phần XD đất nước.</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C7D18"/>
    <w:rsid w:val="197C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2023-02-13T03:55:00Z</dcterms:created>
  <dc:creator>Thu</dc:creator>
  <cp:lastModifiedBy>Nguyễn Ngọc Thu</cp:lastModifiedBy>
  <dcterms:modified xsi:type="dcterms:W3CDTF">2023-02-13T03:57:49Z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5AD09C77FFCE4AC09F80A58C1119E086</vt:lpwstr>
  </property>
</Properties>
</file>