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7395" w14:textId="77777777" w:rsidR="00B84BF9" w:rsidRPr="00B84BF9" w:rsidRDefault="00B84BF9" w:rsidP="00B84BF9">
      <w:pPr>
        <w:spacing w:before="120" w:after="120" w:line="288" w:lineRule="auto"/>
        <w:jc w:val="center"/>
        <w:rPr>
          <w:rFonts w:eastAsia="Times New Roman" w:cs="Times New Roman"/>
          <w:sz w:val="28"/>
          <w:szCs w:val="28"/>
        </w:rPr>
      </w:pPr>
      <w:r w:rsidRPr="00B84BF9">
        <w:rPr>
          <w:rFonts w:eastAsia="Times New Roman" w:cs="Times New Roman"/>
          <w:b/>
          <w:bCs/>
          <w:sz w:val="28"/>
          <w:szCs w:val="28"/>
        </w:rPr>
        <w:t>MẪU PHIẾU ĐỒNG Ý THAM GIA TIÊM CHỦNG VẮC XIN COVID-19</w:t>
      </w:r>
    </w:p>
    <w:p w14:paraId="5BFE04B4" w14:textId="77777777" w:rsidR="00B84BF9" w:rsidRPr="00B84BF9" w:rsidRDefault="00B84BF9" w:rsidP="00B84BF9">
      <w:pPr>
        <w:spacing w:before="120" w:after="120" w:line="288" w:lineRule="auto"/>
        <w:ind w:left="-180" w:firstLine="180"/>
        <w:jc w:val="center"/>
        <w:rPr>
          <w:rFonts w:eastAsia="Times New Roman" w:cs="Times New Roman"/>
          <w:sz w:val="28"/>
          <w:szCs w:val="28"/>
        </w:rPr>
      </w:pPr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(Ban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kèm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văn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8688/BYT-DP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14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10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2021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 xml:space="preserve"> Y </w:t>
      </w:r>
      <w:proofErr w:type="spellStart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B84BF9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14:paraId="3B07449C" w14:textId="77777777" w:rsidR="00B84BF9" w:rsidRPr="00B84BF9" w:rsidRDefault="00B84BF9" w:rsidP="00B84BF9">
      <w:pPr>
        <w:spacing w:before="120" w:after="120" w:line="288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B84BF9">
        <w:rPr>
          <w:rFonts w:eastAsia="Times New Roman" w:cs="Times New Roman"/>
          <w:sz w:val="28"/>
          <w:szCs w:val="28"/>
        </w:rPr>
        <w:t> </w:t>
      </w:r>
    </w:p>
    <w:tbl>
      <w:tblPr>
        <w:tblW w:w="101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B84BF9" w:rsidRPr="00B84BF9" w14:paraId="57AD3663" w14:textId="77777777" w:rsidTr="00B84BF9">
        <w:trPr>
          <w:trHeight w:val="11572"/>
        </w:trPr>
        <w:tc>
          <w:tcPr>
            <w:tcW w:w="10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D8A2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PHIẾU ĐỒNG Ý THAM GIA TIÊM CHỦNG VẮC XIN COVID-19</w:t>
            </w:r>
          </w:p>
          <w:p w14:paraId="46868F06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222222"/>
                <w:sz w:val="28"/>
                <w:szCs w:val="28"/>
              </w:rPr>
              <w:t> </w:t>
            </w:r>
          </w:p>
          <w:p w14:paraId="3329C0A8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liều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COVID-19. Sau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điệp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5K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COVID-19.</w:t>
            </w:r>
          </w:p>
          <w:p w14:paraId="63D0C0F3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vắc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COVID-19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sưng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nhức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nôn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5A8714E6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3. Khi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gần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14:paraId="0B39A79B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□                       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□</w:t>
            </w:r>
          </w:p>
          <w:p w14:paraId="3DDF95F0" w14:textId="0DDFC01F" w:rsidR="00B84BF9" w:rsidRPr="00B84BF9" w:rsidRDefault="00B84BF9" w:rsidP="001B0CF4">
            <w:pPr>
              <w:spacing w:before="120" w:after="120" w:line="288" w:lineRule="auto"/>
              <w:ind w:firstLine="720"/>
              <w:rPr>
                <w:rFonts w:eastAsia="Times New Roman" w:cs="Times New Roman"/>
                <w:color w:val="222222"/>
                <w:sz w:val="28"/>
                <w:szCs w:val="28"/>
              </w:rPr>
            </w:pP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cha/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hộ:.........................................................................</w:t>
            </w:r>
          </w:p>
          <w:p w14:paraId="4587ED9B" w14:textId="77777777" w:rsidR="00B84BF9" w:rsidRPr="00B84BF9" w:rsidRDefault="00B84BF9" w:rsidP="001B0CF4">
            <w:pPr>
              <w:spacing w:before="120" w:after="120" w:line="288" w:lineRule="auto"/>
              <w:ind w:firstLine="720"/>
              <w:rPr>
                <w:rFonts w:eastAsia="Times New Roman" w:cs="Times New Roman"/>
                <w:color w:val="222222"/>
                <w:sz w:val="28"/>
                <w:szCs w:val="28"/>
              </w:rPr>
            </w:pP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: ............................................................................................................</w:t>
            </w:r>
          </w:p>
          <w:p w14:paraId="0AB32FD9" w14:textId="58C4DB23" w:rsidR="00B84BF9" w:rsidRPr="00B84BF9" w:rsidRDefault="00B84BF9" w:rsidP="001B0CF4">
            <w:pPr>
              <w:spacing w:before="120" w:after="120" w:line="288" w:lineRule="auto"/>
              <w:ind w:firstLine="720"/>
              <w:rPr>
                <w:rFonts w:eastAsia="Times New Roman" w:cs="Times New Roman"/>
                <w:color w:val="222222"/>
                <w:sz w:val="28"/>
                <w:szCs w:val="28"/>
              </w:rPr>
            </w:pP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="001B0CF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chủng:......................................................................................</w:t>
            </w:r>
          </w:p>
          <w:p w14:paraId="173F57D3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222222"/>
                <w:sz w:val="28"/>
                <w:szCs w:val="28"/>
              </w:rPr>
              <w:t> </w:t>
            </w:r>
          </w:p>
          <w:p w14:paraId="7418F1C5" w14:textId="77777777" w:rsidR="00B84BF9" w:rsidRPr="00B84BF9" w:rsidRDefault="00B84BF9" w:rsidP="00B84BF9">
            <w:pPr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......, 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.......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.....</w:t>
            </w:r>
            <w:proofErr w:type="spellStart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B84BF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  <w:p w14:paraId="7C0014A3" w14:textId="77777777" w:rsidR="00B84BF9" w:rsidRPr="00B84BF9" w:rsidRDefault="00B84BF9" w:rsidP="00B84BF9">
            <w:pPr>
              <w:spacing w:after="0" w:line="240" w:lineRule="auto"/>
              <w:ind w:firstLine="720"/>
              <w:jc w:val="center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Cha/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mẹ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giám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hộ</w:t>
            </w:r>
            <w:proofErr w:type="spellEnd"/>
          </w:p>
          <w:p w14:paraId="2A24BE02" w14:textId="77777777" w:rsidR="00B84BF9" w:rsidRPr="00B84BF9" w:rsidRDefault="00B84BF9" w:rsidP="00B84BF9">
            <w:pPr>
              <w:spacing w:after="0" w:line="240" w:lineRule="auto"/>
              <w:ind w:firstLine="720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B84B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5E9A11E4" w14:textId="77777777" w:rsidR="00B84BF9" w:rsidRPr="00B84BF9" w:rsidRDefault="00B84BF9" w:rsidP="00B84BF9">
            <w:pPr>
              <w:spacing w:before="120" w:after="120" w:line="288" w:lineRule="auto"/>
              <w:ind w:firstLine="720"/>
              <w:jc w:val="both"/>
              <w:rPr>
                <w:rFonts w:eastAsia="Times New Roman" w:cs="Times New Roman"/>
                <w:color w:val="222222"/>
                <w:sz w:val="28"/>
                <w:szCs w:val="28"/>
              </w:rPr>
            </w:pPr>
            <w:r w:rsidRPr="00B84BF9">
              <w:rPr>
                <w:rFonts w:eastAsia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14:paraId="2B0C56A6" w14:textId="77777777" w:rsidR="0017534B" w:rsidRDefault="0017534B"/>
    <w:p w14:paraId="1364DA40" w14:textId="77777777" w:rsidR="00B84BF9" w:rsidRDefault="00B84BF9"/>
    <w:p w14:paraId="1F1588B7" w14:textId="77777777" w:rsidR="00B84BF9" w:rsidRDefault="00B84BF9"/>
    <w:p w14:paraId="182AA88E" w14:textId="77777777" w:rsidR="00B84BF9" w:rsidRDefault="00B84BF9"/>
    <w:p w14:paraId="3790FB6B" w14:textId="77777777" w:rsidR="00B84BF9" w:rsidRDefault="00B84BF9"/>
    <w:p w14:paraId="500A1BAD" w14:textId="77777777" w:rsidR="00B84BF9" w:rsidRDefault="00B84BF9"/>
    <w:p w14:paraId="2ED49397" w14:textId="77777777" w:rsidR="00B84BF9" w:rsidRDefault="00B84BF9"/>
    <w:p w14:paraId="2C2ED63B" w14:textId="77777777" w:rsidR="00B84BF9" w:rsidRDefault="00B84BF9"/>
    <w:p w14:paraId="1BDD6F20" w14:textId="77777777" w:rsidR="00B84BF9" w:rsidRDefault="00B84BF9"/>
    <w:p w14:paraId="18FCE25D" w14:textId="77777777" w:rsidR="00B84BF9" w:rsidRDefault="00B84BF9"/>
    <w:p w14:paraId="3884C50E" w14:textId="77777777" w:rsidR="00B84BF9" w:rsidRDefault="00B84BF9"/>
    <w:p w14:paraId="58887790" w14:textId="77777777" w:rsidR="00B84BF9" w:rsidRDefault="00B84BF9"/>
    <w:p w14:paraId="065FA21D" w14:textId="77777777" w:rsidR="00B84BF9" w:rsidRDefault="00B84BF9"/>
    <w:p w14:paraId="1DDADB00" w14:textId="77777777" w:rsidR="00B84BF9" w:rsidRDefault="00B84BF9"/>
    <w:tbl>
      <w:tblPr>
        <w:tblW w:w="12075" w:type="dxa"/>
        <w:tblInd w:w="-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7607"/>
      </w:tblGrid>
      <w:tr w:rsidR="00B84BF9" w:rsidRPr="00B84BF9" w14:paraId="28E68291" w14:textId="77777777" w:rsidTr="00B84BF9">
        <w:tc>
          <w:tcPr>
            <w:tcW w:w="4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45C5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BỘ Y TẾ</w:t>
            </w:r>
          </w:p>
          <w:p w14:paraId="3B518E4D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_________</w:t>
            </w:r>
          </w:p>
          <w:p w14:paraId="42CD0401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  <w:vertAlign w:val="subscript"/>
              </w:rPr>
              <w:t>:</w:t>
            </w:r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8688/BYT-DP</w:t>
            </w:r>
          </w:p>
          <w:p w14:paraId="4E1F60A5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V/v 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Tiêm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vắc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xin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phòng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COVID-19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cho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trẻ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từ</w:t>
            </w:r>
            <w:proofErr w:type="spellEnd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12 - 17 </w:t>
            </w:r>
            <w:proofErr w:type="spellStart"/>
            <w:r w:rsidRPr="00B84BF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tuổi</w:t>
            </w:r>
            <w:proofErr w:type="spellEnd"/>
          </w:p>
        </w:tc>
        <w:tc>
          <w:tcPr>
            <w:tcW w:w="7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8252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HOÀ XÃ HỘI CHỦ NGHĨA VIỆT NAM</w:t>
            </w: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br/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- 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do - 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</w:p>
          <w:p w14:paraId="2E53383E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</w:t>
            </w:r>
          </w:p>
          <w:p w14:paraId="49A15BB2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proofErr w:type="spellStart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B84B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2021</w:t>
            </w:r>
          </w:p>
          <w:p w14:paraId="4E4785D8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</w:tc>
      </w:tr>
    </w:tbl>
    <w:p w14:paraId="2E2BB903" w14:textId="77777777" w:rsidR="00B84BF9" w:rsidRPr="00B84BF9" w:rsidRDefault="00B84BF9" w:rsidP="00B84BF9">
      <w:pPr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p w14:paraId="5E6574BD" w14:textId="77777777" w:rsidR="00B84BF9" w:rsidRPr="00B84BF9" w:rsidRDefault="00B84BF9" w:rsidP="00B84BF9">
      <w:pPr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p w14:paraId="753C6FE4" w14:textId="77777777" w:rsidR="00B84BF9" w:rsidRPr="00B84BF9" w:rsidRDefault="00B84BF9" w:rsidP="00B84BF9">
      <w:pPr>
        <w:spacing w:after="0" w:line="240" w:lineRule="auto"/>
        <w:ind w:left="2160"/>
        <w:rPr>
          <w:rFonts w:ascii="Arial" w:eastAsia="Times New Roman" w:hAnsi="Arial" w:cs="Arial"/>
          <w:color w:val="222222"/>
          <w:szCs w:val="24"/>
        </w:rPr>
      </w:pPr>
      <w:proofErr w:type="spellStart"/>
      <w:r w:rsidRPr="00B84BF9">
        <w:rPr>
          <w:rFonts w:ascii="Arial" w:eastAsia="Times New Roman" w:hAnsi="Arial" w:cs="Arial"/>
          <w:color w:val="000000"/>
          <w:sz w:val="28"/>
          <w:szCs w:val="28"/>
        </w:rPr>
        <w:t>Kính</w:t>
      </w:r>
      <w:proofErr w:type="spellEnd"/>
      <w:r w:rsidRPr="00B84BF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8"/>
          <w:szCs w:val="28"/>
        </w:rPr>
        <w:t>gửi</w:t>
      </w:r>
      <w:proofErr w:type="spellEnd"/>
      <w:r w:rsidRPr="00B84BF9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2A9D79FC" w14:textId="77777777" w:rsidR="00B84BF9" w:rsidRPr="00B84BF9" w:rsidRDefault="00B84BF9" w:rsidP="00B84BF9">
      <w:pPr>
        <w:spacing w:after="0" w:line="240" w:lineRule="auto"/>
        <w:ind w:left="2880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65D91A2" w14:textId="77777777" w:rsidR="00B84BF9" w:rsidRPr="00B84BF9" w:rsidRDefault="00B84BF9" w:rsidP="00B84BF9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 w:val="20"/>
          <w:szCs w:val="20"/>
        </w:rPr>
        <w:t>- 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Viện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Vệ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sinh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dịch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tễ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222222"/>
          <w:sz w:val="20"/>
          <w:szCs w:val="20"/>
        </w:rPr>
        <w:t>Viện</w:t>
      </w:r>
      <w:proofErr w:type="spellEnd"/>
      <w:r w:rsidRPr="00B84BF9">
        <w:rPr>
          <w:rFonts w:ascii="Arial" w:eastAsia="Times New Roman" w:hAnsi="Arial" w:cs="Arial"/>
          <w:color w:val="222222"/>
          <w:sz w:val="20"/>
          <w:szCs w:val="20"/>
        </w:rPr>
        <w:t xml:space="preserve"> Pasteur;</w:t>
      </w:r>
    </w:p>
    <w:p w14:paraId="7EA8F2ED" w14:textId="77777777" w:rsidR="00B84BF9" w:rsidRPr="00B84BF9" w:rsidRDefault="00B84BF9" w:rsidP="00B84B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p w14:paraId="327C70B3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lược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11/10/2021,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55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triệu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18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mRNA,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...).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đạt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AFC4D94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C391CB3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đẩy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18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50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Ban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0EFBA2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7D85263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12 - 17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thấp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16 - 17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hạ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dần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0DD8650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02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76AFE8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hoạch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mũi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10/2021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D47596E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rà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12.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3EBE6E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địa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bàn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học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tập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trung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III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COVID-19 ban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="001B0CF4">
        <w:fldChar w:fldCharType="begin"/>
      </w:r>
      <w:r w:rsidR="001B0CF4">
        <w:instrText xml:space="preserve"> HYPERLINK "https://luatvietnam.vn/y-te/quy</w:instrText>
      </w:r>
      <w:r w:rsidR="001B0CF4">
        <w:instrText xml:space="preserve">et-dinh-3588-qd-byt-huong-dan-to-chuc-buoi-tiem-chung-vac-xin-phong-covid-19-206218-d1.html" \t "_blank" </w:instrText>
      </w:r>
      <w:r w:rsidR="001B0CF4">
        <w:fldChar w:fldCharType="separate"/>
      </w:r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>Quyết</w:t>
      </w:r>
      <w:proofErr w:type="spellEnd"/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>định</w:t>
      </w:r>
      <w:proofErr w:type="spellEnd"/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>số</w:t>
      </w:r>
      <w:proofErr w:type="spellEnd"/>
      <w:r w:rsidRPr="00B84BF9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3588/QĐ-BYT</w:t>
      </w:r>
      <w:r w:rsidR="001B0CF4">
        <w:rPr>
          <w:rFonts w:ascii="Arial" w:eastAsia="Times New Roman" w:hAnsi="Arial" w:cs="Arial"/>
          <w:color w:val="0000FF"/>
          <w:sz w:val="20"/>
          <w:szCs w:val="20"/>
          <w:u w:val="single"/>
        </w:rPr>
        <w:fldChar w:fldCharType="end"/>
      </w:r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26/7/2021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31C6A44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+ Cha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giám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phiếu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ý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tượng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B84BF9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B84BF9">
        <w:rPr>
          <w:rFonts w:ascii="Arial" w:eastAsia="Times New Roman" w:hAnsi="Arial" w:cs="Arial"/>
          <w:color w:val="222222"/>
          <w:szCs w:val="24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ban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25602F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+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khám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lọc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Y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E7CEBA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+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dõi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chăm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sóc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Y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F2A5BE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tuyên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truyền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vận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12-17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kịp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ACD1A47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tễ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Pasteur:</w:t>
      </w:r>
    </w:p>
    <w:p w14:paraId="6975EEBB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hoạch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huấn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 COVID-19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12 - 17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phố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bàn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vắc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Y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lứa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546D13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000000"/>
          <w:sz w:val="20"/>
          <w:szCs w:val="20"/>
        </w:rPr>
        <w:t>-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tiêm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chủng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E95661" w14:textId="77777777" w:rsidR="00B84BF9" w:rsidRPr="00B84BF9" w:rsidRDefault="00B84BF9" w:rsidP="00B84B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 Y 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khẩn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trương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84BF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B84BF9">
        <w:rPr>
          <w:rFonts w:ascii="Arial" w:eastAsia="Times New Roman" w:hAnsi="Arial" w:cs="Arial"/>
          <w:color w:val="000000"/>
          <w:sz w:val="20"/>
          <w:szCs w:val="20"/>
        </w:rPr>
        <w:t>../.</w:t>
      </w:r>
    </w:p>
    <w:p w14:paraId="7BA3B767" w14:textId="77777777" w:rsidR="00B84BF9" w:rsidRPr="00B84BF9" w:rsidRDefault="00B84BF9" w:rsidP="00B84B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6017"/>
      </w:tblGrid>
      <w:tr w:rsidR="00B84BF9" w:rsidRPr="00B84BF9" w14:paraId="2B926897" w14:textId="77777777" w:rsidTr="00B84BF9">
        <w:tc>
          <w:tcPr>
            <w:tcW w:w="4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E779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proofErr w:type="spellStart"/>
            <w:r w:rsidRPr="00B84B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14:paraId="271FECF1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0ED1A72E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Thủ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tướng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phủ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14:paraId="1C074A15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Phó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Thủ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tướng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Vũ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Đức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Đam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14:paraId="5EB1CE36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 Đ/c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trưởng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cáo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14:paraId="6640CB80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Đ/c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Thứ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trưởng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5ECBDE31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vị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trực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4E17DED5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Ủy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ban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04CC73D7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tâm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KSBT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3284A625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</w:t>
            </w:r>
            <w:proofErr w:type="spellEnd"/>
            <w:r w:rsidRPr="00B84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 VT, DP.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A545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KT. BỘ TRƯỞNG</w:t>
            </w:r>
          </w:p>
          <w:p w14:paraId="1C5F1B04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THỨ TRƯỞNG</w:t>
            </w:r>
          </w:p>
          <w:p w14:paraId="079C1EDB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14:paraId="0B586618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14:paraId="5951527A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14:paraId="1FD5EF29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  <w:p w14:paraId="6D44AD64" w14:textId="77777777" w:rsidR="00B84BF9" w:rsidRPr="00B84BF9" w:rsidRDefault="00B84BF9" w:rsidP="00B8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Cs w:val="24"/>
              </w:rPr>
            </w:pP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Đỗ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Xuân</w:t>
            </w:r>
            <w:proofErr w:type="spellEnd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4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Tuyên</w:t>
            </w:r>
            <w:proofErr w:type="spellEnd"/>
          </w:p>
          <w:p w14:paraId="7EBCC9B0" w14:textId="77777777" w:rsidR="00B84BF9" w:rsidRPr="00B84BF9" w:rsidRDefault="00B84BF9" w:rsidP="00B84B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Cs w:val="24"/>
              </w:rPr>
            </w:pPr>
            <w:r w:rsidRPr="00B84BF9">
              <w:rPr>
                <w:rFonts w:ascii="Arial" w:eastAsia="Times New Roman" w:hAnsi="Arial" w:cs="Arial"/>
                <w:color w:val="222222"/>
                <w:szCs w:val="24"/>
              </w:rPr>
              <w:t> </w:t>
            </w:r>
          </w:p>
        </w:tc>
      </w:tr>
    </w:tbl>
    <w:p w14:paraId="2AC321E1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p w14:paraId="1AF770FC" w14:textId="77777777" w:rsidR="00B84BF9" w:rsidRPr="00B84BF9" w:rsidRDefault="00B84BF9" w:rsidP="00B84BF9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Cs w:val="24"/>
        </w:rPr>
      </w:pPr>
      <w:r w:rsidRPr="00B84BF9">
        <w:rPr>
          <w:rFonts w:ascii="Arial" w:eastAsia="Times New Roman" w:hAnsi="Arial" w:cs="Arial"/>
          <w:color w:val="222222"/>
          <w:szCs w:val="24"/>
        </w:rPr>
        <w:t> </w:t>
      </w:r>
    </w:p>
    <w:p w14:paraId="21B62886" w14:textId="77777777" w:rsidR="00B84BF9" w:rsidRDefault="00B84BF9"/>
    <w:sectPr w:rsidR="00B84BF9" w:rsidSect="00B84BF9">
      <w:pgSz w:w="12240" w:h="15840"/>
      <w:pgMar w:top="990" w:right="99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BF9"/>
    <w:rsid w:val="0017534B"/>
    <w:rsid w:val="001A157C"/>
    <w:rsid w:val="001B0CF4"/>
    <w:rsid w:val="002F58CF"/>
    <w:rsid w:val="003213FA"/>
    <w:rsid w:val="003F38AA"/>
    <w:rsid w:val="00526F69"/>
    <w:rsid w:val="006B16F5"/>
    <w:rsid w:val="009129B5"/>
    <w:rsid w:val="0095104B"/>
    <w:rsid w:val="00A5207C"/>
    <w:rsid w:val="00B77DD7"/>
    <w:rsid w:val="00B84BF9"/>
    <w:rsid w:val="00C97512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2E466"/>
  <w15:docId w15:val="{47DCC0C0-1D17-4362-9C7A-6D5E85D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129B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B84B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Manh">
    <w:name w:val="Strong"/>
    <w:basedOn w:val="Phngmcinhcuaoanvn"/>
    <w:uiPriority w:val="22"/>
    <w:qFormat/>
    <w:rsid w:val="00B84BF9"/>
    <w:rPr>
      <w:b/>
      <w:bCs/>
    </w:rPr>
  </w:style>
  <w:style w:type="character" w:styleId="Nhnmanh">
    <w:name w:val="Emphasis"/>
    <w:basedOn w:val="Phngmcinhcuaoanvn"/>
    <w:uiPriority w:val="20"/>
    <w:qFormat/>
    <w:rsid w:val="00B84BF9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B84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Le Phuoc Loc</cp:lastModifiedBy>
  <cp:revision>3</cp:revision>
  <dcterms:created xsi:type="dcterms:W3CDTF">2021-10-21T11:32:00Z</dcterms:created>
  <dcterms:modified xsi:type="dcterms:W3CDTF">2021-10-23T08:59:00Z</dcterms:modified>
</cp:coreProperties>
</file>